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  <w:jc w:val="center"/>
      </w:pPr>
      <w:r>
        <w:drawing>
          <wp:inline xmlns:a="http://schemas.openxmlformats.org/drawingml/2006/main" xmlns:pic="http://schemas.openxmlformats.org/drawingml/2006/picture">
            <wp:extent cx="914400" cy="795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pbcex-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955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80"/>
        <w:jc w:val="center"/>
      </w:pPr>
      <w:r>
        <w:rPr>
          <w:rFonts w:ascii="Helvetica Neue" w:hAnsi="Helvetica Neue"/>
          <w:b/>
          <w:i w:val="0"/>
          <w:color w:val="C4992A"/>
          <w:sz w:val="22"/>
          <w:spacing w:val="60"/>
        </w:rPr>
        <w:t>SAVE THE DATE</w:t>
      </w:r>
    </w:p>
    <w:p>
      <w:pPr>
        <w:spacing w:before="80" w:after="80"/>
        <w:jc w:val="center"/>
      </w:pPr>
      <w:r>
        <w:rPr>
          <w:rFonts w:ascii="Georgia" w:hAnsi="Georgia"/>
          <w:b/>
          <w:i w:val="0"/>
          <w:color w:val="1B2A4A"/>
          <w:sz w:val="44"/>
        </w:rPr>
        <w:t>Philippine Business &amp; Trade Mission to Canada</w:t>
      </w:r>
    </w:p>
    <w:p>
      <w:pPr>
        <w:spacing w:before="0" w:after="160"/>
        <w:jc w:val="center"/>
      </w:pPr>
      <w:r>
        <w:rPr>
          <w:rFonts w:ascii="Inter" w:hAnsi="Inter"/>
          <w:b/>
          <w:i w:val="0"/>
          <w:color w:val="C4992A"/>
          <w:sz w:val="24"/>
        </w:rPr>
        <w:t>October 11–18, 2026  ·  Vancouver &amp; Toronto</w:t>
      </w:r>
    </w:p>
    <w:p>
      <w:pPr>
        <w:spacing w:before="80" w:after="80"/>
        <w:jc w:val="center"/>
      </w:pPr>
      <w:r>
        <w:rPr>
          <w:rFonts w:ascii="Helvetica Neue" w:hAnsi="Helvetica Neue"/>
          <w:b w:val="0"/>
          <w:i w:val="0"/>
          <w:color w:val="C4992A"/>
          <w:sz w:val="20"/>
        </w:rPr>
        <w:t>────────────────────</w:t>
      </w:r>
    </w:p>
    <w:p>
      <w:pPr>
        <w:spacing w:before="280" w:after="120"/>
      </w:pPr>
      <w:r>
        <w:rPr>
          <w:rFonts w:ascii="Georgia" w:hAnsi="Georgia"/>
          <w:b/>
          <w:i w:val="0"/>
          <w:color w:val="1B2A4A"/>
          <w:sz w:val="32"/>
        </w:rPr>
        <w:t>Mission Overview</w:t>
      </w:r>
    </w:p>
    <w:p>
      <w:pPr>
        <w:spacing w:after="160" w:line="32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 xml:space="preserve">The </w:t>
      </w:r>
      <w:r>
        <w:rPr>
          <w:rFonts w:ascii="Helvetica Neue" w:hAnsi="Helvetica Neue"/>
          <w:b/>
          <w:i w:val="0"/>
          <w:color w:val="334155"/>
          <w:sz w:val="21"/>
        </w:rPr>
        <w:t>Philippine Business &amp; Trade Mission to Canada</w:t>
      </w:r>
      <w:r>
        <w:rPr>
          <w:rFonts w:ascii="Helvetica Neue" w:hAnsi="Helvetica Neue"/>
          <w:b w:val="0"/>
          <w:i w:val="0"/>
          <w:color w:val="334155"/>
          <w:sz w:val="21"/>
        </w:rPr>
        <w:t xml:space="preserve"> is a landmark week-long initiative organized by the Centre for Philippines-Canada Business &amp; Cultural Exchange (CPBCEX). Scheduled for </w:t>
      </w:r>
      <w:r>
        <w:rPr>
          <w:rFonts w:ascii="Helvetica Neue" w:hAnsi="Helvetica Neue"/>
          <w:b/>
          <w:i w:val="0"/>
          <w:color w:val="334155"/>
          <w:sz w:val="21"/>
        </w:rPr>
        <w:t>October 11–18, 2026</w:t>
      </w:r>
      <w:r>
        <w:rPr>
          <w:rFonts w:ascii="Helvetica Neue" w:hAnsi="Helvetica Neue"/>
          <w:b w:val="0"/>
          <w:i w:val="0"/>
          <w:color w:val="334155"/>
          <w:sz w:val="21"/>
        </w:rPr>
        <w:t>, this mission will bring Filipino businesses, entrepreneurs, and investors face to face with Canadian opportunities across two of the country’s most dynamic cities—</w:t>
      </w:r>
      <w:r>
        <w:rPr>
          <w:rFonts w:ascii="Helvetica Neue" w:hAnsi="Helvetica Neue"/>
          <w:b/>
          <w:i w:val="0"/>
          <w:color w:val="334155"/>
          <w:sz w:val="21"/>
        </w:rPr>
        <w:t>Vancouver</w:t>
      </w:r>
      <w:r>
        <w:rPr>
          <w:rFonts w:ascii="Helvetica Neue" w:hAnsi="Helvetica Neue"/>
          <w:b w:val="0"/>
          <w:i w:val="0"/>
          <w:color w:val="334155"/>
          <w:sz w:val="21"/>
        </w:rPr>
        <w:t xml:space="preserve"> and </w:t>
      </w:r>
      <w:r>
        <w:rPr>
          <w:rFonts w:ascii="Helvetica Neue" w:hAnsi="Helvetica Neue"/>
          <w:b/>
          <w:i w:val="0"/>
          <w:color w:val="334155"/>
          <w:sz w:val="21"/>
        </w:rPr>
        <w:t>Toronto</w:t>
      </w:r>
      <w:r>
        <w:rPr>
          <w:rFonts w:ascii="Helvetica Neue" w:hAnsi="Helvetica Neue"/>
          <w:b w:val="0"/>
          <w:i w:val="0"/>
          <w:color w:val="334155"/>
          <w:sz w:val="21"/>
        </w:rPr>
        <w:t>.</w:t>
      </w:r>
    </w:p>
    <w:p>
      <w:pPr>
        <w:spacing w:after="160" w:line="32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 xml:space="preserve">Whether you’re looking to expand into the Canadian market, forge joint ventures, explore import-export opportunities, or participate in the featured </w:t>
      </w:r>
      <w:r>
        <w:rPr>
          <w:rFonts w:ascii="Helvetica Neue" w:hAnsi="Helvetica Neue"/>
          <w:b/>
          <w:i w:val="0"/>
          <w:color w:val="334155"/>
          <w:sz w:val="21"/>
        </w:rPr>
        <w:t>Canada-Philippines Business Expo</w:t>
      </w:r>
      <w:r>
        <w:rPr>
          <w:rFonts w:ascii="Helvetica Neue" w:hAnsi="Helvetica Neue"/>
          <w:b w:val="0"/>
          <w:i w:val="0"/>
          <w:color w:val="334155"/>
          <w:sz w:val="21"/>
        </w:rPr>
        <w:t>, this mission offers an unmatched platform for growth, connection, and cross-border success.</w:t>
      </w:r>
    </w:p>
    <w:p>
      <w:pPr>
        <w:spacing w:before="280" w:after="120"/>
      </w:pPr>
      <w:r>
        <w:rPr>
          <w:rFonts w:ascii="Georgia" w:hAnsi="Georgia"/>
          <w:b/>
          <w:i w:val="0"/>
          <w:color w:val="1B2A4A"/>
          <w:sz w:val="32"/>
        </w:rPr>
        <w:t>Featured Industries</w:t>
      </w:r>
    </w:p>
    <w:p>
      <w:pPr>
        <w:spacing w:after="80" w:line="32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>This mission is open to Philippine-based companies and entrepreneurs across a wide range of sectors: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/>
          <w:i w:val="0"/>
          <w:color w:val="334155"/>
          <w:sz w:val="21"/>
        </w:rPr>
        <w:t>Food &amp; Beverage</w:t>
      </w:r>
      <w:r>
        <w:rPr>
          <w:rFonts w:ascii="Helvetica Neue" w:hAnsi="Helvetica Neue"/>
          <w:b w:val="0"/>
          <w:i w:val="0"/>
          <w:color w:val="334155"/>
          <w:sz w:val="21"/>
        </w:rPr>
        <w:t xml:space="preserve"> — Tropical fruits, seafood, coconut-based products, snacks, and specialty Filipino food brands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/>
          <w:i w:val="0"/>
          <w:color w:val="334155"/>
          <w:sz w:val="21"/>
        </w:rPr>
        <w:t>Technology &amp; BPO</w:t>
      </w:r>
      <w:r>
        <w:rPr>
          <w:rFonts w:ascii="Helvetica Neue" w:hAnsi="Helvetica Neue"/>
          <w:b w:val="0"/>
          <w:i w:val="0"/>
          <w:color w:val="334155"/>
          <w:sz w:val="21"/>
        </w:rPr>
        <w:t xml:space="preserve"> — IT solutions, software development, business process outsourcing, and digital services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/>
          <w:i w:val="0"/>
          <w:color w:val="334155"/>
          <w:sz w:val="21"/>
        </w:rPr>
        <w:t>Agriculture &amp; Natural Products</w:t>
      </w:r>
      <w:r>
        <w:rPr>
          <w:rFonts w:ascii="Helvetica Neue" w:hAnsi="Helvetica Neue"/>
          <w:b w:val="0"/>
          <w:i w:val="0"/>
          <w:color w:val="334155"/>
          <w:sz w:val="21"/>
        </w:rPr>
        <w:t xml:space="preserve"> — Organic produce, essential oils, abaca fiber, and sustainably sourced raw materials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/>
          <w:i w:val="0"/>
          <w:color w:val="334155"/>
          <w:sz w:val="21"/>
        </w:rPr>
        <w:t>Healthcare &amp; Wellness</w:t>
      </w:r>
      <w:r>
        <w:rPr>
          <w:rFonts w:ascii="Helvetica Neue" w:hAnsi="Helvetica Neue"/>
          <w:b w:val="0"/>
          <w:i w:val="0"/>
          <w:color w:val="334155"/>
          <w:sz w:val="21"/>
        </w:rPr>
        <w:t xml:space="preserve"> — Medical supplies, wellness products, healthcare staffing, and pharmaceutical partnerships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/>
          <w:i w:val="0"/>
          <w:color w:val="334155"/>
          <w:sz w:val="21"/>
        </w:rPr>
        <w:t>Manufacturing &amp; Export</w:t>
      </w:r>
      <w:r>
        <w:rPr>
          <w:rFonts w:ascii="Helvetica Neue" w:hAnsi="Helvetica Neue"/>
          <w:b w:val="0"/>
          <w:i w:val="0"/>
          <w:color w:val="334155"/>
          <w:sz w:val="21"/>
        </w:rPr>
        <w:t xml:space="preserve"> — Furniture, garments, electronics assembly, automotive parts, and industrial components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/>
          <w:i w:val="0"/>
          <w:color w:val="334155"/>
          <w:sz w:val="21"/>
        </w:rPr>
        <w:t>Education &amp; Training</w:t>
      </w:r>
      <w:r>
        <w:rPr>
          <w:rFonts w:ascii="Helvetica Neue" w:hAnsi="Helvetica Neue"/>
          <w:b w:val="0"/>
          <w:i w:val="0"/>
          <w:color w:val="334155"/>
          <w:sz w:val="21"/>
        </w:rPr>
        <w:t xml:space="preserve"> — Academic partnerships, technical training programs, and professional development exchanges</w:t>
      </w:r>
    </w:p>
    <w:p>
      <w:pPr>
        <w:spacing w:before="280" w:after="120"/>
      </w:pPr>
      <w:r>
        <w:rPr>
          <w:rFonts w:ascii="Georgia" w:hAnsi="Georgia"/>
          <w:b/>
          <w:i w:val="0"/>
          <w:color w:val="1B2A4A"/>
          <w:sz w:val="32"/>
        </w:rPr>
        <w:t>Why Canada?</w:t>
      </w:r>
    </w:p>
    <w:p>
      <w:pPr>
        <w:spacing w:after="160" w:line="32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>Canada is home to one of the largest Filipino diaspora communities in the world, creating a natural bridge for trade and cultural exchange. With a stable economy, strong regulatory frameworks, and growing demand for diverse products and services, Canada represents a prime destination for Philippine businesses looking to expand internationally.</w:t>
      </w:r>
    </w:p>
    <w:p>
      <w:pPr>
        <w:spacing w:after="160" w:line="32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>Vancouver and Toronto are Canada’s two largest economic hubs—offering access to tech ecosystems, major port infrastructure, multicultural consumer markets, and established Filipino-Canadian business networks eager to connect with partners from the Philippines.</w:t>
      </w:r>
    </w:p>
    <w:p>
      <w:pPr>
        <w:spacing w:before="280" w:after="120"/>
      </w:pPr>
      <w:r>
        <w:rPr>
          <w:rFonts w:ascii="Georgia" w:hAnsi="Georgia"/>
          <w:b/>
          <w:i w:val="0"/>
          <w:color w:val="1B2A4A"/>
          <w:sz w:val="32"/>
        </w:rPr>
        <w:t>Be Part of the Delegation</w:t>
      </w:r>
    </w:p>
    <w:p>
      <w:pPr>
        <w:spacing w:after="80" w:line="32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>As a delegate, you’ll gain access to a curated program designed to maximize your exposure and business outcomes: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>Curated B2B matchmaking sessions with pre-vetted Canadian buyers and investors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>Guided visits to key business districts in Vancouver and Toronto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>Networking receptions with Canadian chambers of commerce and trade associations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>Market briefings on Canadian consumer trends, regulations, and import requirements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>Participation in the Canada-Philippines Business Expo showcase</w:t>
      </w:r>
    </w:p>
    <w:p>
      <w:pPr>
        <w:pStyle w:val="ListBullet"/>
        <w:spacing w:after="80" w:line="30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>Media exposure and promotional opportunities for your brand</w:t>
      </w:r>
    </w:p>
    <w:p>
      <w:pPr>
        <w:spacing w:before="280" w:after="120"/>
      </w:pPr>
      <w:r>
        <w:rPr>
          <w:rFonts w:ascii="Georgia" w:hAnsi="Georgia"/>
          <w:b/>
          <w:i w:val="0"/>
          <w:color w:val="1B2A4A"/>
          <w:sz w:val="32"/>
        </w:rPr>
        <w:t>Canada-Philippines Business Expo</w:t>
      </w:r>
    </w:p>
    <w:p>
      <w:pPr>
        <w:spacing w:after="160" w:line="32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 xml:space="preserve">A centrepiece of the trade mission, the </w:t>
      </w:r>
      <w:r>
        <w:rPr>
          <w:rFonts w:ascii="Helvetica Neue" w:hAnsi="Helvetica Neue"/>
          <w:b/>
          <w:i w:val="0"/>
          <w:color w:val="334155"/>
          <w:sz w:val="21"/>
        </w:rPr>
        <w:t>Canada-Philippines Business Expo</w:t>
      </w:r>
      <w:r>
        <w:rPr>
          <w:rFonts w:ascii="Helvetica Neue" w:hAnsi="Helvetica Neue"/>
          <w:b w:val="0"/>
          <w:i w:val="0"/>
          <w:color w:val="334155"/>
          <w:sz w:val="21"/>
        </w:rPr>
        <w:t xml:space="preserve"> will bring together exhibitors, buyers, and investors under one roof. Showcase your products and services, attend industry panels, and build relationships that extend well beyond the event.</w:t>
      </w:r>
    </w:p>
    <w:p>
      <w:pPr>
        <w:spacing w:after="160" w:line="320" w:lineRule="exact"/>
      </w:pPr>
      <w:r>
        <w:rPr>
          <w:rFonts w:ascii="Helvetica Neue" w:hAnsi="Helvetica Neue"/>
          <w:b w:val="0"/>
          <w:i w:val="0"/>
          <w:color w:val="334155"/>
          <w:sz w:val="21"/>
        </w:rPr>
        <w:t>Booth and sponsorship packages will be available for businesses seeking premium visibility and direct engagement with Canadian partners.</w:t>
      </w:r>
    </w:p>
    <w:p>
      <w:pPr>
        <w:spacing w:before="80" w:after="80"/>
        <w:jc w:val="center"/>
      </w:pPr>
      <w:r>
        <w:rPr>
          <w:rFonts w:ascii="Helvetica Neue" w:hAnsi="Helvetica Neue"/>
          <w:b w:val="0"/>
          <w:i w:val="0"/>
          <w:color w:val="C4992A"/>
          <w:sz w:val="20"/>
        </w:rPr>
        <w:t>────────────────────</w:t>
      </w:r>
    </w:p>
    <w:p>
      <w:pPr>
        <w:spacing w:before="240" w:after="80"/>
        <w:jc w:val="center"/>
      </w:pPr>
      <w:r>
        <w:rPr>
          <w:rFonts w:ascii="Georgia" w:hAnsi="Georgia"/>
          <w:b/>
          <w:i w:val="0"/>
          <w:color w:val="1B2A4A"/>
          <w:sz w:val="26"/>
        </w:rPr>
        <w:t>Interested in joining the delegation?</w:t>
      </w:r>
    </w:p>
    <w:p>
      <w:pPr>
        <w:spacing w:before="0" w:after="240"/>
        <w:jc w:val="center"/>
      </w:pPr>
      <w:r>
        <w:rPr>
          <w:rFonts w:ascii="Helvetica Neue" w:hAnsi="Helvetica Neue"/>
          <w:b/>
          <w:i w:val="0"/>
          <w:color w:val="C4992A"/>
          <w:sz w:val="22"/>
        </w:rPr>
        <w:t>info@cpbcex.com  ·  cpbcex.com/trade-mission</w:t>
      </w:r>
    </w:p>
    <w:p>
      <w:pPr>
        <w:spacing w:before="80" w:after="80"/>
        <w:jc w:val="center"/>
      </w:pPr>
      <w:r>
        <w:rPr>
          <w:rFonts w:ascii="Helvetica Neue" w:hAnsi="Helvetica Neue"/>
          <w:b w:val="0"/>
          <w:i w:val="0"/>
          <w:color w:val="C4992A"/>
          <w:sz w:val="20"/>
        </w:rPr>
        <w:t>────────────────────</w:t>
      </w:r>
    </w:p>
    <w:p>
      <w:pPr>
        <w:spacing w:before="320"/>
        <w:jc w:val="center"/>
      </w:pPr>
      <w:r>
        <w:rPr>
          <w:rFonts w:ascii="Helvetica Neue" w:hAnsi="Helvetica Neue"/>
          <w:b w:val="0"/>
          <w:i/>
          <w:color w:val="94A3B8"/>
          <w:sz w:val="17"/>
        </w:rPr>
        <w:t>© 2026 Centre for Philippines-Canada Business &amp; Cultural Exchange (CPBCEX). All rights reserved.</w:t>
        <w:br/>
        <w:t>cpbcex.com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Helvetica Neue" w:hAnsi="Helvetica Neue"/>
      <w:color w:val="334155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